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6FAD" w14:textId="63A4ED90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4055A7">
        <w:rPr>
          <w:rFonts w:ascii="Corbel" w:hAnsi="Corbel"/>
          <w:bCs/>
          <w:i/>
          <w:sz w:val="24"/>
          <w:szCs w:val="24"/>
        </w:rPr>
        <w:t>7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4055A7">
        <w:rPr>
          <w:rFonts w:ascii="Corbel" w:hAnsi="Corbel"/>
          <w:bCs/>
          <w:i/>
          <w:sz w:val="24"/>
          <w:szCs w:val="24"/>
        </w:rPr>
        <w:t>23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035B2609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3851AB" w:rsidRPr="00C9251D">
        <w:rPr>
          <w:rFonts w:ascii="Corbel" w:hAnsi="Corbel"/>
          <w:smallCaps/>
          <w:sz w:val="24"/>
          <w:szCs w:val="24"/>
        </w:rPr>
        <w:t>202</w:t>
      </w:r>
      <w:r w:rsidR="00C731C9">
        <w:rPr>
          <w:rFonts w:ascii="Corbel" w:hAnsi="Corbel"/>
          <w:smallCaps/>
          <w:sz w:val="24"/>
          <w:szCs w:val="24"/>
        </w:rPr>
        <w:t>3</w:t>
      </w:r>
      <w:r w:rsidR="003851AB" w:rsidRPr="00C9251D">
        <w:rPr>
          <w:rFonts w:ascii="Corbel" w:hAnsi="Corbel"/>
          <w:smallCaps/>
          <w:sz w:val="24"/>
          <w:szCs w:val="24"/>
        </w:rPr>
        <w:t>/202</w:t>
      </w:r>
      <w:r w:rsidR="00C731C9">
        <w:rPr>
          <w:rFonts w:ascii="Corbel" w:hAnsi="Corbel"/>
          <w:smallCaps/>
          <w:sz w:val="24"/>
          <w:szCs w:val="24"/>
        </w:rPr>
        <w:t>4</w:t>
      </w:r>
      <w:r w:rsidR="00AE3A22" w:rsidRPr="00C9251D">
        <w:rPr>
          <w:rFonts w:ascii="Corbel" w:hAnsi="Corbel"/>
          <w:smallCaps/>
          <w:sz w:val="24"/>
          <w:szCs w:val="24"/>
        </w:rPr>
        <w:t xml:space="preserve"> do 202</w:t>
      </w:r>
      <w:r w:rsidR="00C731C9">
        <w:rPr>
          <w:rFonts w:ascii="Corbel" w:hAnsi="Corbel"/>
          <w:smallCaps/>
          <w:sz w:val="24"/>
          <w:szCs w:val="24"/>
        </w:rPr>
        <w:t>7</w:t>
      </w:r>
      <w:r w:rsidR="00AE3A22" w:rsidRPr="00C9251D">
        <w:rPr>
          <w:rFonts w:ascii="Corbel" w:hAnsi="Corbel"/>
          <w:smallCaps/>
          <w:sz w:val="24"/>
          <w:szCs w:val="24"/>
        </w:rPr>
        <w:t>/202</w:t>
      </w:r>
      <w:r w:rsidR="00C731C9">
        <w:rPr>
          <w:rFonts w:ascii="Corbel" w:hAnsi="Corbel"/>
          <w:smallCaps/>
          <w:sz w:val="24"/>
          <w:szCs w:val="24"/>
        </w:rPr>
        <w:t>8</w:t>
      </w:r>
    </w:p>
    <w:p w14:paraId="7D2E041E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148F855F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akademicki   </w:t>
      </w:r>
      <w:r w:rsidR="00C731C9">
        <w:rPr>
          <w:rFonts w:ascii="Corbel" w:hAnsi="Corbel"/>
          <w:sz w:val="24"/>
          <w:szCs w:val="24"/>
        </w:rPr>
        <w:t>2024/25</w:t>
      </w:r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 karne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21B4C1C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647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08FFBC90" w:rsidR="0085747A" w:rsidRPr="00C9251D" w:rsidRDefault="007A6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1727092B" w:rsidR="0085747A" w:rsidRPr="00C9251D" w:rsidRDefault="00C73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7D1E781D" w:rsidR="0085747A" w:rsidRPr="00B846DE" w:rsidRDefault="00C731C9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3F307423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4F748A8A" w:rsidR="00015B8F" w:rsidRPr="00C9251D" w:rsidRDefault="004055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2E5090F4" w:rsidR="00015B8F" w:rsidRPr="00C9251D" w:rsidRDefault="00B84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4E21AF78" w:rsidR="00015B8F" w:rsidRPr="00C9251D" w:rsidRDefault="004055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9251D" w14:paraId="535323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2086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C80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B97A" w14:textId="17A80625" w:rsidR="0030395F" w:rsidRPr="00C9251D" w:rsidRDefault="00B84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7940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76E0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350E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5772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5F8B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B01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513C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50368DA5" w14:textId="77777777" w:rsidR="0085747A" w:rsidRPr="00C9251D" w:rsidRDefault="00AE3A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E4C67C" w14:textId="77777777"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616F2A8C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77777777" w:rsidR="00E960BB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77777777" w:rsidR="0085747A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0D72683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FCB2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FE6CD9E" w14:textId="589A348E" w:rsidR="00AE3A22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karze.</w:t>
            </w:r>
          </w:p>
          <w:p w14:paraId="646B1810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5615" w:rsidRPr="00C9251D" w14:paraId="778A3C3D" w14:textId="77777777" w:rsidTr="00C9251D">
        <w:tc>
          <w:tcPr>
            <w:tcW w:w="844" w:type="dxa"/>
            <w:vAlign w:val="center"/>
          </w:tcPr>
          <w:p w14:paraId="05964DD8" w14:textId="223E5F22" w:rsidR="00495615" w:rsidRPr="00C9251D" w:rsidRDefault="00CE63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235083F" w14:textId="1FD38A04" w:rsidR="00495615" w:rsidRPr="00C9251D" w:rsidRDefault="00CE635E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poświęcone są zapoznaniu studentów z praktyką stosowania wiedzy nabytej w trakcie wykładów.</w:t>
            </w:r>
          </w:p>
        </w:tc>
      </w:tr>
      <w:tr w:rsidR="00495615" w:rsidRPr="00C9251D" w14:paraId="3542B342" w14:textId="77777777" w:rsidTr="00C9251D">
        <w:tc>
          <w:tcPr>
            <w:tcW w:w="844" w:type="dxa"/>
            <w:vAlign w:val="center"/>
          </w:tcPr>
          <w:p w14:paraId="2A3B06A3" w14:textId="651EB9E8" w:rsidR="00495615" w:rsidRPr="00C9251D" w:rsidRDefault="00CE63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357A70B6" w14:textId="0FA9D1CD" w:rsidR="00495615" w:rsidRPr="00CE635E" w:rsidRDefault="00CE635E" w:rsidP="00AE3A22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E635E">
              <w:rPr>
                <w:rFonts w:eastAsia="Times New Roman"/>
                <w:b w:val="0"/>
                <w:bCs/>
                <w:lang w:eastAsia="pl-PL"/>
              </w:rPr>
              <w:t>Ćwiczenia mają za zadanie zapoznać studentów z praktycznym zastosowaniem przepisów ustawy karnej, stworzenie podstaw do samodzielnej analizy i podania rozwiązania kazusów, samodzielnej analizy tekstu prawnego i jego interpretacji.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07"/>
        <w:gridCol w:w="1719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59D087BB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zna terminologię prawa karnego, definiuje przestępstwo i rodzaje przestępstw, karę i inne środki reakcji karnej,</w:t>
            </w:r>
          </w:p>
          <w:p w14:paraId="2FF3FBDC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E11E21E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15" w:type="dxa"/>
          </w:tcPr>
          <w:p w14:paraId="4F1C5F68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karnej, 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rozróżnia przypadki braku odpowiedzialności karnej ze względu na określone przesłanki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rozpoznaje formy popełnienia przestępstw,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formułuje teorie dotyczące zbiegu przepisów oraz związku przyczynowego,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K_w09,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K_W11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603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 uporządkowaną wiedzę ogólną z zakresu prawa karnego, podstaw odpowiedzialności karnej, </w:t>
            </w:r>
          </w:p>
          <w:p w14:paraId="7FF0ECC2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8B7BE32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 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rozwiązuje samodzielnie kazus, dokonuje subsumpcji stanu faktycznego pod dobraną przez siebie normę prawną, proponuje alternatywne rozwiązania zagadnienia prawnego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K_U01,K_UO2,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podstawowe umiejętności badawcze obejmujące formułowanie i analizę zagadnienia/problemu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wyprowadza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415AD3AB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K_U11, K_U17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podstawowymi ujęciami teoretycznymi,  sformułowaniami prawniczymi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argumentuje za reprezentowanym przez siebie stanowiskiem w przedmiocie znaczenia, treści lub zastosowania przepisu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K_U02,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zachowuje ostrożność/krytycyzm w wyrażaniu opinii w przedmiocie wybranego zagadnienia z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2B389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09BE4373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3A22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76C8D100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1. Pojęcie i funkcje prawa karneg</w:t>
            </w:r>
            <w:r w:rsidR="00AD2738">
              <w:rPr>
                <w:rFonts w:ascii="Corbel" w:eastAsia="Times New Roman" w:hAnsi="Corbel"/>
                <w:sz w:val="24"/>
                <w:szCs w:val="24"/>
                <w:lang w:eastAsia="pl-PL"/>
              </w:rPr>
              <w:t>o.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D2738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prawa karnego i jego źródła</w:t>
            </w:r>
          </w:p>
        </w:tc>
        <w:tc>
          <w:tcPr>
            <w:tcW w:w="1469" w:type="dxa"/>
          </w:tcPr>
          <w:p w14:paraId="275BBBE9" w14:textId="3EACE204" w:rsidR="00AE3A22" w:rsidRPr="00C9251D" w:rsidRDefault="00026AFE" w:rsidP="00571E40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E3A22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743688D2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CE63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Czas i miejsce popełnienia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prawa intertemporalnego i  zasady prawa karnego międzynarodowego</w:t>
            </w:r>
          </w:p>
        </w:tc>
        <w:tc>
          <w:tcPr>
            <w:tcW w:w="1469" w:type="dxa"/>
          </w:tcPr>
          <w:p w14:paraId="48994303" w14:textId="77AC0D04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3AACB46A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D2738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60905B29" w:rsidR="00AD2738" w:rsidRPr="00C9251D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3. Pojęcie przestępstwa. Struktura przestępstwa. P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ojęcie czynu, koncepcje czynu, brak czynu mimo pozorów czynu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9" w:type="dxa"/>
          </w:tcPr>
          <w:p w14:paraId="006B6548" w14:textId="433A1A90" w:rsidR="00AD2738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0937FFD6" w14:textId="76145F46" w:rsidR="00AE3A22" w:rsidRPr="00C9251D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czynu zabronionego.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445E6C6A" w14:textId="202023F0" w:rsidR="00AE3A22" w:rsidRPr="00C9251D" w:rsidRDefault="00026AFE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D2738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530CA679" w14:textId="2FC92D59" w:rsidR="00AD2738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1A4273">
              <w:rPr>
                <w:rFonts w:ascii="Corbel" w:eastAsia="Times New Roman" w:hAnsi="Corbel"/>
                <w:sz w:val="24"/>
                <w:szCs w:val="24"/>
                <w:lang w:eastAsia="pl-PL"/>
              </w:rPr>
              <w:t>. Strona przedmiotowa czynu zabronionego. Przedmiot ochrony. Naruszenie reguł postępowania z dobrem prawnym. Podmiot czynu zabronionego. Strona podmiotowa czynu zabronionego.</w:t>
            </w:r>
          </w:p>
        </w:tc>
        <w:tc>
          <w:tcPr>
            <w:tcW w:w="1469" w:type="dxa"/>
          </w:tcPr>
          <w:p w14:paraId="275B44DA" w14:textId="57AC45B2" w:rsidR="00AD2738" w:rsidRPr="00C9251D" w:rsidRDefault="007135AC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2A87F864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Obiektywne przypisanie czynu zabronionego w przypadku działania i zaniechania, teorie związku przyczynowego</w:t>
            </w:r>
          </w:p>
        </w:tc>
        <w:tc>
          <w:tcPr>
            <w:tcW w:w="1469" w:type="dxa"/>
          </w:tcPr>
          <w:p w14:paraId="2C4A9020" w14:textId="6253C68C" w:rsidR="00AE3A22" w:rsidRPr="00C9251D" w:rsidRDefault="00026AFE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1DE6AD11" w14:textId="77777777" w:rsidTr="00AE3A22">
        <w:trPr>
          <w:trHeight w:val="849"/>
        </w:trPr>
        <w:tc>
          <w:tcPr>
            <w:tcW w:w="7899" w:type="dxa"/>
          </w:tcPr>
          <w:p w14:paraId="50009D80" w14:textId="639D0700" w:rsidR="001A4273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Formy stadialne i zjawiskowe popełnienia przestępstwa </w:t>
            </w:r>
          </w:p>
        </w:tc>
        <w:tc>
          <w:tcPr>
            <w:tcW w:w="1469" w:type="dxa"/>
          </w:tcPr>
          <w:p w14:paraId="42A70E91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4BD45712" w14:textId="77777777" w:rsidTr="00AE3A22">
        <w:trPr>
          <w:trHeight w:val="459"/>
        </w:trPr>
        <w:tc>
          <w:tcPr>
            <w:tcW w:w="7899" w:type="dxa"/>
          </w:tcPr>
          <w:p w14:paraId="358A173B" w14:textId="36AB44F3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Okoliczności wyłączające odpowiedzialność karną z powodu braku bezprawności- kontratypy </w:t>
            </w:r>
          </w:p>
        </w:tc>
        <w:tc>
          <w:tcPr>
            <w:tcW w:w="1469" w:type="dxa"/>
          </w:tcPr>
          <w:p w14:paraId="0DA9F2CD" w14:textId="5C15CF8D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213A7464" w14:textId="77777777" w:rsidTr="00AE3A22">
        <w:trPr>
          <w:trHeight w:val="459"/>
        </w:trPr>
        <w:tc>
          <w:tcPr>
            <w:tcW w:w="7899" w:type="dxa"/>
          </w:tcPr>
          <w:p w14:paraId="2C1D3B03" w14:textId="621252BB" w:rsidR="00AE3A22" w:rsidRPr="00C9251D" w:rsidRDefault="00CF6F04" w:rsidP="00571E4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="001A4273">
              <w:rPr>
                <w:rFonts w:ascii="Corbel" w:hAnsi="Corbel"/>
                <w:sz w:val="24"/>
                <w:szCs w:val="24"/>
              </w:rPr>
              <w:t>Zasada winy. Funkcje winy. Teorie winy.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="00B008F0">
              <w:rPr>
                <w:rFonts w:ascii="Corbel" w:hAnsi="Corbel"/>
                <w:sz w:val="24"/>
                <w:szCs w:val="24"/>
              </w:rPr>
              <w:t>Przesłanki przypisania winy. O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koliczności wyłączające </w:t>
            </w:r>
            <w:r w:rsidR="00CE635E">
              <w:rPr>
                <w:rFonts w:ascii="Corbel" w:hAnsi="Corbel"/>
                <w:sz w:val="24"/>
                <w:szCs w:val="24"/>
              </w:rPr>
              <w:t>winę</w:t>
            </w:r>
          </w:p>
        </w:tc>
        <w:tc>
          <w:tcPr>
            <w:tcW w:w="1469" w:type="dxa"/>
          </w:tcPr>
          <w:p w14:paraId="786DA406" w14:textId="032D9AAC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09218930" w14:textId="77777777" w:rsidTr="00AE3A22">
        <w:trPr>
          <w:trHeight w:val="459"/>
        </w:trPr>
        <w:tc>
          <w:tcPr>
            <w:tcW w:w="7899" w:type="dxa"/>
          </w:tcPr>
          <w:p w14:paraId="5A8FDDB1" w14:textId="3260AF0C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</w:t>
            </w:r>
          </w:p>
        </w:tc>
        <w:tc>
          <w:tcPr>
            <w:tcW w:w="1469" w:type="dxa"/>
          </w:tcPr>
          <w:p w14:paraId="5C38C66F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B008F0" w:rsidRPr="00C9251D" w14:paraId="6CCCD25D" w14:textId="77777777" w:rsidTr="00AE3A22">
        <w:trPr>
          <w:trHeight w:val="459"/>
        </w:trPr>
        <w:tc>
          <w:tcPr>
            <w:tcW w:w="7899" w:type="dxa"/>
          </w:tcPr>
          <w:p w14:paraId="6698A963" w14:textId="1CB9C49B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B5390">
              <w:rPr>
                <w:rFonts w:ascii="Corbel" w:hAnsi="Corbel"/>
                <w:sz w:val="24"/>
                <w:szCs w:val="24"/>
              </w:rPr>
              <w:t>1</w:t>
            </w:r>
            <w:r w:rsidR="00CF6F04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</w:rPr>
              <w:t xml:space="preserve">. 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Pojęcie i funkcje kary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 Rodzaje kar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09A72897" w14:textId="5BDDB37D" w:rsidR="00B008F0" w:rsidRPr="00C9251D" w:rsidRDefault="00026AFE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B008F0" w:rsidRPr="00C9251D" w14:paraId="61BC2629" w14:textId="77777777" w:rsidTr="00AE3A22">
        <w:trPr>
          <w:trHeight w:val="459"/>
        </w:trPr>
        <w:tc>
          <w:tcPr>
            <w:tcW w:w="7899" w:type="dxa"/>
          </w:tcPr>
          <w:p w14:paraId="08AF2BC1" w14:textId="3EE32BF0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432E493B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07DB9F60" w14:textId="77777777" w:rsidTr="00AE3A22">
        <w:trPr>
          <w:trHeight w:val="376"/>
        </w:trPr>
        <w:tc>
          <w:tcPr>
            <w:tcW w:w="7899" w:type="dxa"/>
          </w:tcPr>
          <w:p w14:paraId="0A10E8E9" w14:textId="66A3B172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Pojęcie i funkcje środków probacyjnych. Zasady orzekania środków probacyjnych,</w:t>
            </w:r>
          </w:p>
        </w:tc>
        <w:tc>
          <w:tcPr>
            <w:tcW w:w="1469" w:type="dxa"/>
          </w:tcPr>
          <w:p w14:paraId="45C3E958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41F600D5" w14:textId="77777777" w:rsidTr="00AE3A22">
        <w:trPr>
          <w:trHeight w:val="459"/>
        </w:trPr>
        <w:tc>
          <w:tcPr>
            <w:tcW w:w="7899" w:type="dxa"/>
          </w:tcPr>
          <w:p w14:paraId="6C276AEC" w14:textId="69830EAA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Zasady dotyczące sądowego wymiaru kary i środków karnych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Nadzwyczajny wymiar kary, okoliczności wpływające na złagodzenie lub obostrzenie wymiaru kary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3F3DD3E0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042A20FF" w14:textId="77777777" w:rsidTr="00AE3A22">
        <w:trPr>
          <w:trHeight w:val="459"/>
        </w:trPr>
        <w:tc>
          <w:tcPr>
            <w:tcW w:w="7899" w:type="dxa"/>
          </w:tcPr>
          <w:p w14:paraId="158AB7A9" w14:textId="77777777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05B47E6D" w14:textId="38F346D3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Przedawnienie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8E5914">
              <w:rPr>
                <w:rFonts w:ascii="Corbel" w:eastAsia="Times New Roman" w:hAnsi="Corbel"/>
                <w:sz w:val="24"/>
                <w:szCs w:val="24"/>
                <w:lang w:eastAsia="pl-PL"/>
              </w:rPr>
              <w:t>Zatarcie skazania.</w:t>
            </w:r>
          </w:p>
        </w:tc>
        <w:tc>
          <w:tcPr>
            <w:tcW w:w="1469" w:type="dxa"/>
          </w:tcPr>
          <w:p w14:paraId="7862DFA1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5F4093B4" w14:textId="77777777" w:rsidR="0085747A" w:rsidRPr="00C9251D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14:paraId="4B6F3BA7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 xml:space="preserve">zajęć praktycznych </w:t>
      </w:r>
    </w:p>
    <w:p w14:paraId="055058A7" w14:textId="77777777" w:rsidR="0085747A" w:rsidRPr="00C925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  <w:gridCol w:w="152"/>
      </w:tblGrid>
      <w:tr w:rsidR="0085747A" w:rsidRPr="00C9251D" w14:paraId="36226A9B" w14:textId="77777777" w:rsidTr="00C45BB8">
        <w:tc>
          <w:tcPr>
            <w:tcW w:w="9520" w:type="dxa"/>
            <w:gridSpan w:val="3"/>
          </w:tcPr>
          <w:p w14:paraId="7665B01E" w14:textId="77777777" w:rsidR="0085747A" w:rsidRPr="00C925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F04" w:rsidRPr="00C9251D" w14:paraId="13B243A9" w14:textId="77777777" w:rsidTr="00150B93">
        <w:trPr>
          <w:gridAfter w:val="1"/>
          <w:wAfter w:w="152" w:type="dxa"/>
          <w:trHeight w:val="376"/>
        </w:trPr>
        <w:tc>
          <w:tcPr>
            <w:tcW w:w="7899" w:type="dxa"/>
          </w:tcPr>
          <w:p w14:paraId="7E2AE06A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1. Pojęcie i funkcje prawa karneg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o.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prawa karnego i jego źródła</w:t>
            </w:r>
          </w:p>
        </w:tc>
        <w:tc>
          <w:tcPr>
            <w:tcW w:w="1469" w:type="dxa"/>
          </w:tcPr>
          <w:p w14:paraId="4DF03872" w14:textId="77777777" w:rsidR="00CF6F04" w:rsidRPr="00C9251D" w:rsidRDefault="00CF6F04" w:rsidP="00150B93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F6F04" w:rsidRPr="00C9251D" w14:paraId="5203400D" w14:textId="77777777" w:rsidTr="00150B93">
        <w:trPr>
          <w:gridAfter w:val="1"/>
          <w:wAfter w:w="152" w:type="dxa"/>
          <w:trHeight w:val="500"/>
        </w:trPr>
        <w:tc>
          <w:tcPr>
            <w:tcW w:w="7899" w:type="dxa"/>
          </w:tcPr>
          <w:p w14:paraId="38DA607E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Czas i miejsce popełnienia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prawa intertemporalnego i  zasady prawa karnego międzynarodowego</w:t>
            </w:r>
          </w:p>
        </w:tc>
        <w:tc>
          <w:tcPr>
            <w:tcW w:w="1469" w:type="dxa"/>
          </w:tcPr>
          <w:p w14:paraId="2CB4A129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28975E23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CF6F04" w:rsidRPr="00C9251D" w14:paraId="721CA86D" w14:textId="77777777" w:rsidTr="00150B93">
        <w:trPr>
          <w:gridAfter w:val="1"/>
          <w:wAfter w:w="152" w:type="dxa"/>
          <w:trHeight w:val="500"/>
        </w:trPr>
        <w:tc>
          <w:tcPr>
            <w:tcW w:w="7899" w:type="dxa"/>
          </w:tcPr>
          <w:p w14:paraId="61BD1CAB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3. Pojęcie przestępstwa. Struktura przestępstwa. P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ojęcie czynu, koncepcje czynu, brak czynu mimo pozorów czynu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9" w:type="dxa"/>
          </w:tcPr>
          <w:p w14:paraId="2F01C62E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165F6713" w14:textId="77777777" w:rsidTr="00150B93">
        <w:trPr>
          <w:gridAfter w:val="1"/>
          <w:wAfter w:w="152" w:type="dxa"/>
          <w:trHeight w:val="325"/>
        </w:trPr>
        <w:tc>
          <w:tcPr>
            <w:tcW w:w="7899" w:type="dxa"/>
          </w:tcPr>
          <w:p w14:paraId="50765602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66CE60AB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333F00E4" w14:textId="77777777" w:rsidTr="00150B93">
        <w:trPr>
          <w:gridAfter w:val="1"/>
          <w:wAfter w:w="152" w:type="dxa"/>
          <w:trHeight w:val="325"/>
        </w:trPr>
        <w:tc>
          <w:tcPr>
            <w:tcW w:w="7899" w:type="dxa"/>
          </w:tcPr>
          <w:p w14:paraId="65020D68" w14:textId="77777777" w:rsidR="00CF6F04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5. Strona przedmiotowa czynu zabronionego. Przedmiot ochrony. Naruszenie reguł postępowania z dobrem prawnym. Podmiot czynu zabronionego. Strona podmiotowa czynu zabronionego.</w:t>
            </w:r>
          </w:p>
        </w:tc>
        <w:tc>
          <w:tcPr>
            <w:tcW w:w="1469" w:type="dxa"/>
          </w:tcPr>
          <w:p w14:paraId="1AC92FE4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CF6F04" w:rsidRPr="00C9251D" w14:paraId="3C380C4D" w14:textId="77777777" w:rsidTr="00150B93">
        <w:trPr>
          <w:gridAfter w:val="1"/>
          <w:wAfter w:w="152" w:type="dxa"/>
          <w:trHeight w:val="413"/>
        </w:trPr>
        <w:tc>
          <w:tcPr>
            <w:tcW w:w="7899" w:type="dxa"/>
          </w:tcPr>
          <w:p w14:paraId="1311F41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Obiektywne przypisanie czynu zabronionego w przypadku działania i zaniechania, teorie związku przyczynowego</w:t>
            </w:r>
          </w:p>
        </w:tc>
        <w:tc>
          <w:tcPr>
            <w:tcW w:w="1469" w:type="dxa"/>
          </w:tcPr>
          <w:p w14:paraId="32CEA260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576A18FD" w14:textId="77777777" w:rsidTr="00150B93">
        <w:trPr>
          <w:gridAfter w:val="1"/>
          <w:wAfter w:w="152" w:type="dxa"/>
          <w:trHeight w:val="849"/>
        </w:trPr>
        <w:tc>
          <w:tcPr>
            <w:tcW w:w="7899" w:type="dxa"/>
          </w:tcPr>
          <w:p w14:paraId="4D3CAE21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Formy stadialne i zjawiskowe popełnienia przestępstwa </w:t>
            </w:r>
          </w:p>
        </w:tc>
        <w:tc>
          <w:tcPr>
            <w:tcW w:w="1469" w:type="dxa"/>
          </w:tcPr>
          <w:p w14:paraId="2BF0FEC2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CF6F04" w:rsidRPr="00C9251D" w14:paraId="6C909AA5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1C4D8AD0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Okoliczności wyłączające odpowiedzialność karną z powodu braku bezprawności- kontratypy </w:t>
            </w:r>
          </w:p>
        </w:tc>
        <w:tc>
          <w:tcPr>
            <w:tcW w:w="1469" w:type="dxa"/>
          </w:tcPr>
          <w:p w14:paraId="65D30C6D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CF6F04" w:rsidRPr="00C9251D" w14:paraId="2CC5EDD3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02899F1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Zasada winy. Funkcje winy. Teorie winy.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Przesłanki przypisania winy. O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koliczności wyłączające </w:t>
            </w:r>
            <w:r>
              <w:rPr>
                <w:rFonts w:ascii="Corbel" w:hAnsi="Corbel"/>
                <w:sz w:val="24"/>
                <w:szCs w:val="24"/>
              </w:rPr>
              <w:t>winę</w:t>
            </w:r>
          </w:p>
        </w:tc>
        <w:tc>
          <w:tcPr>
            <w:tcW w:w="1469" w:type="dxa"/>
          </w:tcPr>
          <w:p w14:paraId="74A9AFB0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3538433B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40417E03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</w:t>
            </w:r>
          </w:p>
        </w:tc>
        <w:tc>
          <w:tcPr>
            <w:tcW w:w="1469" w:type="dxa"/>
          </w:tcPr>
          <w:p w14:paraId="2B8C0212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CF6F04" w:rsidRPr="00C9251D" w14:paraId="5AB03AFA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4A780E57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B539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</w:rPr>
              <w:t xml:space="preserve">. 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Pojęcie i funkcje kary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 Rodzaje kar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7ACB0C9F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1F0B0504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35D3758B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0C511E7B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2B0A43E3" w14:textId="77777777" w:rsidTr="00150B93">
        <w:trPr>
          <w:gridAfter w:val="1"/>
          <w:wAfter w:w="152" w:type="dxa"/>
          <w:trHeight w:val="376"/>
        </w:trPr>
        <w:tc>
          <w:tcPr>
            <w:tcW w:w="7899" w:type="dxa"/>
          </w:tcPr>
          <w:p w14:paraId="04CC2401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Pojęcie i funkcje środków probacyjnych. Zasady orzekania środków probacyjnych,</w:t>
            </w:r>
          </w:p>
        </w:tc>
        <w:tc>
          <w:tcPr>
            <w:tcW w:w="1469" w:type="dxa"/>
          </w:tcPr>
          <w:p w14:paraId="268DDAA9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626D9DC3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43DB21A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Zasady dotyczące sądowego wymiaru kary i środków karnych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Nadzwyczajny wymiar kary, okoliczności wpływające na złagodzenie lub obostrzenie wymiaru kary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48A7A4E4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49D3F465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224A2100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0E0CAB4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Przedawnienie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Zatarcie skazania.</w:t>
            </w:r>
          </w:p>
        </w:tc>
        <w:tc>
          <w:tcPr>
            <w:tcW w:w="1469" w:type="dxa"/>
          </w:tcPr>
          <w:p w14:paraId="1ACD1CBB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6353A4F3" w14:textId="77777777" w:rsidR="00CF6F04" w:rsidRPr="00C9251D" w:rsidRDefault="00CF6F04" w:rsidP="00CF6F04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C9251D" w:rsidRDefault="009F4610" w:rsidP="002216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044035E7" w:rsidR="00CF6F04" w:rsidRPr="00C9251D" w:rsidRDefault="00CF6F04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F6F04">
        <w:rPr>
          <w:rFonts w:eastAsia="Cambria"/>
          <w:b w:val="0"/>
          <w:bCs/>
          <w:szCs w:val="24"/>
          <w:lang w:eastAsia="ar-SA"/>
        </w:rPr>
        <w:t>Wykład</w:t>
      </w:r>
      <w:r w:rsidRPr="00324E94">
        <w:rPr>
          <w:rFonts w:eastAsia="Cambria"/>
          <w:szCs w:val="24"/>
          <w:lang w:eastAsia="ar-SA"/>
        </w:rPr>
        <w:t xml:space="preserve">: </w:t>
      </w:r>
      <w:r w:rsidRPr="00CF6F04">
        <w:rPr>
          <w:rFonts w:ascii="Corbel" w:hAnsi="Corbel"/>
          <w:b w:val="0"/>
          <w:iCs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iCs/>
          <w:smallCaps w:val="0"/>
          <w:szCs w:val="24"/>
        </w:rPr>
        <w:t>,</w:t>
      </w:r>
      <w:r w:rsidRPr="00C9251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942B87F" w14:textId="51134EAA" w:rsidR="00CF6F04" w:rsidRPr="00CF6F04" w:rsidRDefault="00CF6F04" w:rsidP="00CF6F04">
      <w:pPr>
        <w:suppressAutoHyphens/>
        <w:snapToGrid w:val="0"/>
        <w:spacing w:after="0" w:line="240" w:lineRule="auto"/>
        <w:jc w:val="both"/>
        <w:rPr>
          <w:rFonts w:ascii="Corbel" w:eastAsia="Cambria" w:hAnsi="Corbel"/>
          <w:sz w:val="24"/>
          <w:szCs w:val="24"/>
          <w:lang w:eastAsia="ar-SA"/>
        </w:rPr>
      </w:pPr>
      <w:r w:rsidRPr="00CF6F04">
        <w:rPr>
          <w:rFonts w:ascii="Times New Roman" w:eastAsia="Cambria" w:hAnsi="Times New Roman"/>
          <w:sz w:val="20"/>
          <w:szCs w:val="20"/>
          <w:lang w:eastAsia="ar-SA"/>
        </w:rPr>
        <w:t>ĆWICZENIA</w:t>
      </w:r>
      <w:r w:rsidRPr="00324E94">
        <w:rPr>
          <w:rFonts w:ascii="Times New Roman" w:eastAsia="Cambria" w:hAnsi="Times New Roman"/>
          <w:sz w:val="24"/>
          <w:szCs w:val="24"/>
          <w:lang w:eastAsia="ar-SA"/>
        </w:rPr>
        <w:t xml:space="preserve">: </w:t>
      </w:r>
      <w:r w:rsidRPr="00CF6F04">
        <w:rPr>
          <w:rFonts w:ascii="Corbel" w:eastAsia="Cambria" w:hAnsi="Corbel"/>
          <w:sz w:val="24"/>
          <w:szCs w:val="24"/>
          <w:lang w:eastAsia="ar-SA"/>
        </w:rPr>
        <w:t xml:space="preserve">analiza przypadków/stanu prawnego, praca w grupach, dyskusja, rozwiązywanie zadań/kazusów,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C925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C9251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4C91C819" w14:textId="77777777" w:rsidR="00923D7D" w:rsidRPr="00C925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37DC" w14:textId="77777777" w:rsidR="0085747A" w:rsidRPr="00C9251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C9251D">
        <w:rPr>
          <w:rFonts w:ascii="Corbel" w:hAnsi="Corbel"/>
          <w:b w:val="0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3D42900D" w:rsidR="00AE3A22" w:rsidRPr="00C9251D" w:rsidRDefault="00A70A6E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4E0F">
              <w:rPr>
                <w:b w:val="0"/>
                <w:color w:val="000000"/>
                <w:sz w:val="22"/>
              </w:rPr>
              <w:t>egzamin pisemny, Test lub zaliczenie opisowe (sposób alternatywny), obserwacja umiejętności praktycznych studenta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06E9844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C9251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C9251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10C24E" w14:textId="3D6B6789" w:rsidR="00A70A6E" w:rsidRPr="004055A7" w:rsidRDefault="00C9251D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lastRenderedPageBreak/>
              <w:t>Egzamin końcowy</w:t>
            </w:r>
            <w:r w:rsidR="00A70A6E"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:</w:t>
            </w:r>
            <w:r w:rsidR="00A70A6E"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składa się z II części- testowej (teoretycznej) i </w:t>
            </w:r>
            <w:proofErr w:type="spellStart"/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(praktycznej). Test pisemny- z progresywną skalą trudności pytań. Test jednokrotnego/wielokrotnego wyboru (stosownie do gradacji stopnia trudności pytań, co pozwala na sprawdzenie stopnia zdobytej wiedzy- podstawowa/rozszerzona). Test złożony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maksymalnie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z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30 pytań.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W trakcie egzaminu</w:t>
            </w:r>
            <w:r w:rsidR="00E713E1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(część testowa),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studenci nie mogą korzystać z pomocy naukowych (kodeksu karnego i innych - podręczniki etc.). </w:t>
            </w:r>
          </w:p>
          <w:p w14:paraId="5B91DAAB" w14:textId="3AFF6C89" w:rsidR="00C9251D" w:rsidRPr="00A70A6E" w:rsidRDefault="00A70A6E" w:rsidP="00A70A6E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Część </w:t>
            </w:r>
            <w:proofErr w:type="spellStart"/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>kazusowa</w:t>
            </w:r>
            <w:proofErr w:type="spellEnd"/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- 2 kazusy; za każdy student może uzyskać maksymalnie 5 pkt. </w:t>
            </w:r>
            <w:r w:rsidRPr="004055A7">
              <w:rPr>
                <w:rFonts w:ascii="Corbel" w:eastAsia="Cambria" w:hAnsi="Corbel"/>
                <w:b/>
                <w:bCs/>
                <w:sz w:val="24"/>
                <w:szCs w:val="24"/>
                <w:lang w:eastAsia="ar-SA"/>
              </w:rPr>
              <w:t xml:space="preserve">W trakcie egzaminu z części </w:t>
            </w:r>
            <w:proofErr w:type="spellStart"/>
            <w:r w:rsidRPr="004055A7">
              <w:rPr>
                <w:rFonts w:ascii="Corbel" w:eastAsia="Cambria" w:hAnsi="Corbel"/>
                <w:b/>
                <w:bCs/>
                <w:sz w:val="24"/>
                <w:szCs w:val="24"/>
                <w:lang w:eastAsia="ar-SA"/>
              </w:rPr>
              <w:t>kazusowej</w:t>
            </w:r>
            <w:proofErr w:type="spellEnd"/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student może korzystać z kodeksu karnego.</w:t>
            </w:r>
          </w:p>
          <w:p w14:paraId="263DC0C9" w14:textId="73230F0E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co najmniej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z części teoretycznej i 5 pkt z części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kazusowej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.</w:t>
            </w:r>
          </w:p>
          <w:p w14:paraId="2A19999D" w14:textId="77777777" w:rsidR="00A70A6E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374E63CE" w14:textId="42C532CF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color w:val="FF0000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b/>
                <w:sz w:val="24"/>
                <w:u w:val="single"/>
                <w:lang w:eastAsia="ar-SA"/>
              </w:rPr>
              <w:t>Ć</w:t>
            </w:r>
            <w:r w:rsidRPr="00A70A6E">
              <w:rPr>
                <w:rFonts w:ascii="Corbel" w:eastAsia="Cambria" w:hAnsi="Corbel"/>
                <w:b/>
                <w:sz w:val="24"/>
                <w:szCs w:val="24"/>
                <w:u w:val="single"/>
                <w:lang w:eastAsia="ar-SA"/>
              </w:rPr>
              <w:t>wiczenia: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test wielokrotnego albo jednokrotnego</w:t>
            </w:r>
            <w:r w:rsidR="002216EC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(w zależności od preferencji osoby prowadzącej zajęcia)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wyboru ograniczony czasowo lub zaliczenie pisemne opisowe bez dostępu do kodeksu karnego (sposoby alternatywne) oraz obserwacja umiejętności praktycznych studenta w trakcie zajęć, w szczególności poparta wiedzą merytoryczną aktywność studenta na zajęciach.</w:t>
            </w:r>
          </w:p>
          <w:p w14:paraId="2103C5A0" w14:textId="7070BA36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 w:rsidR="00C07C1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co najmniej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odpowiedzi.</w:t>
            </w:r>
          </w:p>
          <w:p w14:paraId="28C142A6" w14:textId="77777777" w:rsidR="00A70A6E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06242B57" w14:textId="7D556655" w:rsidR="00923D7D" w:rsidRDefault="00A70A6E" w:rsidP="00A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b w:val="0"/>
                <w:smallCaps w:val="0"/>
                <w:szCs w:val="24"/>
                <w:lang w:eastAsia="ar-SA"/>
              </w:rPr>
              <w:t>Ocena końcowa modułu jest oceną z egzaminu pisemnego.</w:t>
            </w:r>
          </w:p>
          <w:p w14:paraId="5043BF9E" w14:textId="0FD56AB7" w:rsidR="004055A7" w:rsidRPr="00A70A6E" w:rsidRDefault="004055A7" w:rsidP="00A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szczególnych sytuacjach istnieje możliwość przeprowadzenia</w:t>
            </w:r>
            <w:r w:rsidR="00FF4801">
              <w:rPr>
                <w:rFonts w:ascii="Corbel" w:hAnsi="Corbel"/>
                <w:b w:val="0"/>
                <w:smallCaps w:val="0"/>
                <w:szCs w:val="24"/>
              </w:rPr>
              <w:t xml:space="preserve"> zaliczenia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 w formie ustnej.</w:t>
            </w:r>
          </w:p>
          <w:p w14:paraId="349F65AC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C9251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9022D0" w14:textId="77777777" w:rsidR="0085747A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Wykład</w:t>
            </w:r>
          </w:p>
          <w:p w14:paraId="1E27FFC9" w14:textId="2A96D714" w:rsidR="00A33C48" w:rsidRPr="00C9251D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Ćwiczenia</w:t>
            </w: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88FD76" w14:textId="77777777" w:rsidR="00A33C48" w:rsidRPr="00A33C48" w:rsidRDefault="00A33C48" w:rsidP="00A33C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-czas na pisanie kolokwiów/napisanie testu/referatu/eseju zaliczeniowego (ćwiczenia)</w:t>
            </w:r>
          </w:p>
          <w:p w14:paraId="4170626C" w14:textId="77777777" w:rsidR="00A33C48" w:rsidRPr="00A33C48" w:rsidRDefault="00A33C48" w:rsidP="00A33C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5 godz.</w:t>
            </w:r>
          </w:p>
          <w:p w14:paraId="0F7C98D0" w14:textId="77777777" w:rsidR="00A33C48" w:rsidRPr="00A33C48" w:rsidRDefault="00A33C48" w:rsidP="00A33C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-udział w egzaminie 2 godz.</w:t>
            </w:r>
          </w:p>
          <w:p w14:paraId="08247972" w14:textId="39FF134B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25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25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57B31E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</w:t>
            </w:r>
            <w:r w:rsidR="00A33C4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151105" w14:textId="117CCB91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9A2462" w14:textId="6372B1F8" w:rsidR="004055A7" w:rsidRDefault="004055A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22665D" w14:textId="77777777" w:rsidR="004055A7" w:rsidRPr="00C9251D" w:rsidRDefault="004055A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1DD77081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(w przypadku aktualizacji podręcznika-najnowsza wersja), </w:t>
            </w:r>
          </w:p>
          <w:p w14:paraId="6D03CFF1" w14:textId="77777777" w:rsidR="0085747A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M. Królikowski, R. </w:t>
            </w:r>
            <w:proofErr w:type="spellStart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Zawłocki</w:t>
            </w:r>
            <w:proofErr w:type="spellEnd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karne, Warszawa 2020.</w:t>
            </w:r>
          </w:p>
          <w:p w14:paraId="464D418B" w14:textId="59E40A70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</w:t>
            </w:r>
            <w:r w:rsidR="003F508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J. Lachowski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</w:t>
            </w:r>
            <w:r w:rsidR="003F508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</w:t>
            </w:r>
          </w:p>
          <w:p w14:paraId="1CD8480A" w14:textId="77777777" w:rsidR="00C9251D" w:rsidRPr="00C9251D" w:rsidRDefault="00C9251D" w:rsidP="00C9251D">
            <w:pPr>
              <w:spacing w:after="0"/>
              <w:ind w:left="36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4055A7" w:rsidRPr="004055A7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77777777" w:rsidR="0085747A" w:rsidRPr="004055A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0061B5B" w14:textId="77777777" w:rsidR="00C9251D" w:rsidRPr="004055A7" w:rsidRDefault="00C9251D" w:rsidP="00C9251D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4055A7">
              <w:rPr>
                <w:rFonts w:asciiTheme="minorHAnsi" w:eastAsia="Times New Roman" w:hAnsiTheme="minorHAnsi" w:cstheme="minorHAnsi"/>
                <w:bCs/>
                <w:color w:val="000000" w:themeColor="text1"/>
                <w:sz w:val="24"/>
                <w:szCs w:val="24"/>
                <w:lang w:eastAsia="pl-PL"/>
              </w:rPr>
              <w:t>, red. A. Zoll</w:t>
            </w:r>
            <w:r w:rsidRPr="004055A7">
              <w:rPr>
                <w:rFonts w:asciiTheme="minorHAnsi" w:eastAsia="Times New Roman" w:hAnsiTheme="minorHAnsi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Pr="004055A7">
              <w:rPr>
                <w:rFonts w:asciiTheme="minorHAnsi" w:eastAsia="Times New Roman" w:hAnsiTheme="minorHAnsi" w:cstheme="minorHAnsi"/>
                <w:bCs/>
                <w:color w:val="000000" w:themeColor="text1"/>
                <w:sz w:val="24"/>
                <w:szCs w:val="24"/>
                <w:lang w:eastAsia="pl-PL"/>
              </w:rPr>
              <w:t>WK&amp;LEX, Warszawa 2016 (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(w przypadku aktualizacji komentarza-najnowsza wersja),</w:t>
            </w:r>
            <w:r w:rsidRPr="004055A7"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  <w:tab/>
            </w:r>
          </w:p>
          <w:p w14:paraId="355465AD" w14:textId="554E43CE" w:rsidR="00C9251D" w:rsidRPr="004055A7" w:rsidRDefault="00C9251D" w:rsidP="00C9251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L. Gardocki, </w:t>
            </w:r>
            <w:r w:rsidRPr="004055A7">
              <w:rPr>
                <w:rFonts w:asciiTheme="minorHAnsi" w:eastAsia="Times New Roman" w:hAnsiTheme="minorHAnsi" w:cstheme="minorHAnsi"/>
                <w:i/>
                <w:color w:val="000000" w:themeColor="text1"/>
                <w:sz w:val="24"/>
                <w:szCs w:val="24"/>
                <w:lang w:eastAsia="pl-PL"/>
              </w:rPr>
              <w:t>Prawo karne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, Warszawa 20</w:t>
            </w:r>
            <w:r w:rsidR="003F5089"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22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1CD5BD1" w14:textId="47C47C47" w:rsidR="00C9251D" w:rsidRPr="004055A7" w:rsidRDefault="00C9251D" w:rsidP="00C925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G. Bogdan (et. a), </w:t>
            </w:r>
            <w:r w:rsidRPr="004055A7">
              <w:rPr>
                <w:rFonts w:asciiTheme="minorHAnsi" w:eastAsia="Times New Roman" w:hAnsiTheme="minorHAnsi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Prawo karne materialne. Zbiór Kazusów</w:t>
            </w: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4055A7">
              <w:rPr>
                <w:rFonts w:asciiTheme="minorHAnsi" w:eastAsia="Times New Roman" w:hAnsiTheme="minorHAnsi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do nauki prawa karnego materialnego</w:t>
            </w: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>, Warszawa wyd. 2013, 2010, 2009.</w:t>
            </w:r>
          </w:p>
          <w:p w14:paraId="73AEAED8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A. Golonka,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Ewolucja wybranych instytucji prawa karnego materialnego</w:t>
            </w:r>
            <w:r w:rsidRPr="004055A7"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Zeszyty Prawnicze UR. Seria prawo” 2018, zeszyt 22,</w:t>
            </w:r>
          </w:p>
          <w:p w14:paraId="0F7689F6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apple-converted-space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Red. A. Golonka, 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Prawo karne w obliczu zmian i aktualnych problemów polityki kryminalnej,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 Rzeszów 2018,</w:t>
            </w:r>
          </w:p>
          <w:p w14:paraId="51974EA6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Naruszenie czynności narządu ciała lub rozstrój zdrowia a naruszenie nietykalności cielesnej w polskich kodeksach karnych, (w:)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Przestępstwa przeciwko życiu i zdrowiu. Aspekty prawne, kryminologiczne i kryminalistyczne, Warszawa 2018,</w:t>
            </w:r>
          </w:p>
          <w:p w14:paraId="34B11D8F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Kształtowanie odpowiedzialności represyjnej podmiotów zbiorowych jako przykład europeizacji polskiego prawa karnego (w: ) </w:t>
            </w:r>
            <w:hyperlink r:id="rId8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Problemy europeizacji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teoria i praktyka, red. E. </w:t>
            </w:r>
            <w:proofErr w:type="spellStart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Jasiuk</w:t>
            </w:r>
            <w:proofErr w:type="spellEnd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, G.P. Maj</w:t>
            </w:r>
          </w:p>
          <w:p w14:paraId="09C7B5F8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Analiza zakresu ochrony osób nieporadnych przed przestępstwem znęcania się (w:)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 </w:t>
            </w:r>
            <w:hyperlink r:id="rId9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Przestępstwa przeciwko życiu i zdrowiu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aspekty prawne, kryminologiczne i kryminalistyczne, red. D. </w:t>
            </w:r>
            <w:proofErr w:type="spellStart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semków</w:t>
            </w:r>
            <w:proofErr w:type="spellEnd"/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, Warszawa 2018,</w:t>
            </w:r>
          </w:p>
          <w:p w14:paraId="4D9C955A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K. Czeszejko-Sochacka,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Zbrojna napaść Rosji na Ukrainę a kwestia odpowiedzialności karnej jednostki, Roczniki Nauk Społecznych t. 15 nr 2, 2023 r.</w:t>
            </w:r>
          </w:p>
          <w:p w14:paraId="57E086EF" w14:textId="52188395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Konstytucyjne i karne aspekty demoralizacji młodzieży na przykładzie zjawiska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happy </w:t>
            </w:r>
            <w:proofErr w:type="spellStart"/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>slapping</w:t>
            </w:r>
            <w:proofErr w:type="spellEnd"/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iCs/>
                <w:color w:val="000000" w:themeColor="text1"/>
                <w:szCs w:val="24"/>
              </w:rPr>
              <w:t>Przegląd Prawa Konstytucyjnego nr 1, 2021</w:t>
            </w:r>
          </w:p>
          <w:p w14:paraId="3E481CB8" w14:textId="77777777" w:rsidR="00C9251D" w:rsidRPr="004055A7" w:rsidRDefault="00C9251D" w:rsidP="00C9251D">
            <w:pPr>
              <w:pStyle w:val="Punktygwne"/>
              <w:spacing w:before="0" w:after="0"/>
              <w:ind w:left="720"/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</w:pP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D137D" w14:textId="77777777" w:rsidR="00EB2CB5" w:rsidRDefault="00EB2CB5" w:rsidP="00C16ABF">
      <w:pPr>
        <w:spacing w:after="0" w:line="240" w:lineRule="auto"/>
      </w:pPr>
      <w:r>
        <w:separator/>
      </w:r>
    </w:p>
  </w:endnote>
  <w:endnote w:type="continuationSeparator" w:id="0">
    <w:p w14:paraId="6D41D320" w14:textId="77777777" w:rsidR="00EB2CB5" w:rsidRDefault="00EB2C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B88D7" w14:textId="77777777" w:rsidR="00EB2CB5" w:rsidRDefault="00EB2CB5" w:rsidP="00C16ABF">
      <w:pPr>
        <w:spacing w:after="0" w:line="240" w:lineRule="auto"/>
      </w:pPr>
      <w:r>
        <w:separator/>
      </w:r>
    </w:p>
  </w:footnote>
  <w:footnote w:type="continuationSeparator" w:id="0">
    <w:p w14:paraId="758246B4" w14:textId="77777777" w:rsidR="00EB2CB5" w:rsidRDefault="00EB2CB5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439406">
    <w:abstractNumId w:val="0"/>
  </w:num>
  <w:num w:numId="2" w16cid:durableId="1244485263">
    <w:abstractNumId w:val="2"/>
  </w:num>
  <w:num w:numId="3" w16cid:durableId="71122414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46"/>
    <w:rsid w:val="00164FA7"/>
    <w:rsid w:val="00166A03"/>
    <w:rsid w:val="001718A7"/>
    <w:rsid w:val="001737CF"/>
    <w:rsid w:val="00176083"/>
    <w:rsid w:val="00192F37"/>
    <w:rsid w:val="001A4273"/>
    <w:rsid w:val="001A70D2"/>
    <w:rsid w:val="001D3261"/>
    <w:rsid w:val="001D657B"/>
    <w:rsid w:val="001D7B54"/>
    <w:rsid w:val="001E0209"/>
    <w:rsid w:val="001F0414"/>
    <w:rsid w:val="001F2CA2"/>
    <w:rsid w:val="002144C0"/>
    <w:rsid w:val="002216E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AB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3F5089"/>
    <w:rsid w:val="00400448"/>
    <w:rsid w:val="004055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615"/>
    <w:rsid w:val="004968E2"/>
    <w:rsid w:val="004A3EEA"/>
    <w:rsid w:val="004A4D1F"/>
    <w:rsid w:val="004D5282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ADE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6F8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5A4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5E4"/>
    <w:rsid w:val="00A30110"/>
    <w:rsid w:val="00A33C48"/>
    <w:rsid w:val="00A36899"/>
    <w:rsid w:val="00A371F6"/>
    <w:rsid w:val="00A3746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1E1B"/>
    <w:rsid w:val="00C131B5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31C9"/>
    <w:rsid w:val="00C766DF"/>
    <w:rsid w:val="00C9251D"/>
    <w:rsid w:val="00C94B98"/>
    <w:rsid w:val="00CA2B96"/>
    <w:rsid w:val="00CA5089"/>
    <w:rsid w:val="00CA56E5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3DFD"/>
    <w:rsid w:val="00E24BF5"/>
    <w:rsid w:val="00E25338"/>
    <w:rsid w:val="00E51E44"/>
    <w:rsid w:val="00E63348"/>
    <w:rsid w:val="00E713E1"/>
    <w:rsid w:val="00E742AA"/>
    <w:rsid w:val="00E7746B"/>
    <w:rsid w:val="00E77E88"/>
    <w:rsid w:val="00E8107D"/>
    <w:rsid w:val="00E960BB"/>
    <w:rsid w:val="00EA2074"/>
    <w:rsid w:val="00EA4832"/>
    <w:rsid w:val="00EA4E9D"/>
    <w:rsid w:val="00EB2C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E1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48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apple-converted-space">
    <w:name w:val="apple-converted-space"/>
    <w:basedOn w:val="Domylnaczcionkaakapitu"/>
    <w:rsid w:val="004055A7"/>
  </w:style>
  <w:style w:type="character" w:customStyle="1" w:styleId="f975b">
    <w:name w:val="f_975b"/>
    <w:basedOn w:val="Domylnaczcionkaakapitu"/>
    <w:rsid w:val="00405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2BECB-C14D-9C4D-A369-16C86BC3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1838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2023-10-16T12:02:00Z</dcterms:created>
  <dcterms:modified xsi:type="dcterms:W3CDTF">2023-10-16T12:02:00Z</dcterms:modified>
</cp:coreProperties>
</file>